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22DA054A" w:rsidR="00851F14" w:rsidRDefault="003A52D0">
            <w:pPr>
              <w:spacing w:after="0" w:line="240" w:lineRule="auto"/>
              <w:rPr>
                <w:lang w:val="es-ES"/>
              </w:rPr>
            </w:pPr>
            <w:r>
              <w:rPr>
                <w:b/>
                <w:bCs/>
                <w:lang w:val="en-US"/>
              </w:rPr>
              <w:t>Ju</w:t>
            </w:r>
            <w:r w:rsidR="00043C00">
              <w:rPr>
                <w:b/>
                <w:bCs/>
                <w:lang w:val="en-US"/>
              </w:rPr>
              <w:t>l</w:t>
            </w:r>
            <w:r>
              <w:rPr>
                <w:b/>
                <w:bCs/>
                <w:lang w:val="en-US"/>
              </w:rPr>
              <w:t>io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sidR="00DA359C">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ipervnculo"/>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661F0BFA" w:rsidR="00851F14" w:rsidRDefault="009D3FAF">
            <w:pPr>
              <w:spacing w:after="0" w:line="240" w:lineRule="auto"/>
              <w:jc w:val="center"/>
              <w:rPr>
                <w:b/>
                <w:bCs/>
                <w:lang w:val="en-US"/>
              </w:rPr>
            </w:pPr>
            <w:r>
              <w:rPr>
                <w:b/>
                <w:bCs/>
                <w:lang w:val="en-US"/>
              </w:rPr>
              <w:t>Juni</w:t>
            </w:r>
            <w:r w:rsidR="00DE07A2">
              <w:rPr>
                <w:b/>
                <w:bCs/>
                <w:lang w:val="en-US"/>
              </w:rPr>
              <w:t xml:space="preserve">o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716F469C" w:rsidR="00851F14" w:rsidRDefault="00516606">
            <w:pPr>
              <w:spacing w:after="0" w:line="240" w:lineRule="auto"/>
              <w:jc w:val="center"/>
              <w:rPr>
                <w:b/>
                <w:bCs/>
                <w:lang w:val="es-ES"/>
              </w:rPr>
            </w:pPr>
            <w:r>
              <w:rPr>
                <w:b/>
                <w:bCs/>
                <w:lang w:val="en-US"/>
              </w:rPr>
              <w:t>Ju</w:t>
            </w:r>
            <w:r w:rsidR="00043C00">
              <w:rPr>
                <w:b/>
                <w:bCs/>
                <w:lang w:val="en-US"/>
              </w:rPr>
              <w:t>l</w:t>
            </w:r>
            <w:r>
              <w:rPr>
                <w:b/>
                <w:bCs/>
                <w:lang w:val="en-US"/>
              </w:rPr>
              <w:t>io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4A55EB4D" w:rsidR="00DE07A2" w:rsidRPr="00DE07A2" w:rsidRDefault="00516606">
            <w:pPr>
              <w:spacing w:after="0" w:line="240" w:lineRule="auto"/>
              <w:jc w:val="center"/>
              <w:rPr>
                <w:b/>
                <w:bCs/>
              </w:rPr>
            </w:pPr>
            <w:r>
              <w:rPr>
                <w:b/>
                <w:bCs/>
              </w:rPr>
              <w:t>Ju</w:t>
            </w:r>
            <w:r w:rsidR="00043C00">
              <w:rPr>
                <w:b/>
                <w:bCs/>
              </w:rPr>
              <w:t>l</w:t>
            </w:r>
            <w:r>
              <w:rPr>
                <w:b/>
                <w:bCs/>
              </w:rPr>
              <w:t>io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DA359C">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4473AACE" w:rsidR="00851F14" w:rsidRDefault="00043C00">
            <w:pPr>
              <w:spacing w:after="0" w:line="240" w:lineRule="auto"/>
              <w:jc w:val="center"/>
              <w:rPr>
                <w:sz w:val="20"/>
                <w:szCs w:val="20"/>
              </w:rPr>
            </w:pPr>
            <w:r>
              <w:rPr>
                <w:b/>
                <w:bCs/>
                <w:lang w:val="en-US"/>
              </w:rPr>
              <w:t>Mayo</w:t>
            </w:r>
            <w:r w:rsidR="002644A2">
              <w:rPr>
                <w:b/>
                <w:bCs/>
                <w:lang w:val="en-US"/>
              </w:rPr>
              <w:t xml:space="preserve"> </w:t>
            </w:r>
            <w:r w:rsidR="00A50855">
              <w:rPr>
                <w:b/>
                <w:bCs/>
                <w:lang w:val="en-US"/>
              </w:rPr>
              <w:t>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ipervnculo"/>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37B250AD" w:rsidR="00851F14" w:rsidRDefault="00B2385B">
            <w:pPr>
              <w:spacing w:after="0" w:line="240" w:lineRule="auto"/>
              <w:jc w:val="center"/>
              <w:rPr>
                <w:b/>
                <w:bCs/>
                <w:lang w:val="es-ES"/>
              </w:rPr>
            </w:pPr>
            <w:r>
              <w:rPr>
                <w:b/>
                <w:bCs/>
                <w:lang w:val="es-ES"/>
              </w:rPr>
              <w:t>Enero 2023</w:t>
            </w:r>
            <w:r w:rsidR="00DE07A2">
              <w:rPr>
                <w:b/>
                <w:bCs/>
                <w:lang w:val="es-ES"/>
              </w:rPr>
              <w:t xml:space="preserve"> </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29913782" w:rsidR="00851F14" w:rsidRDefault="000E332C" w:rsidP="000E332C">
            <w:pPr>
              <w:spacing w:after="0" w:line="240" w:lineRule="auto"/>
              <w:jc w:val="center"/>
              <w:rPr>
                <w:b/>
                <w:bCs/>
                <w:sz w:val="20"/>
                <w:szCs w:val="20"/>
                <w:lang w:val="en-US"/>
              </w:rPr>
            </w:pPr>
            <w:r>
              <w:rPr>
                <w:b/>
                <w:bCs/>
                <w:lang w:val="en-US"/>
              </w:rPr>
              <w:t xml:space="preserve">Junio </w:t>
            </w:r>
            <w:r w:rsidR="008B2D26">
              <w:rPr>
                <w:b/>
                <w:bCs/>
                <w:lang w:val="en-US"/>
              </w:rPr>
              <w:t>202</w:t>
            </w:r>
            <w:r w:rsidR="00DE07A2">
              <w:rPr>
                <w:b/>
                <w:bCs/>
                <w:lang w:val="en-US"/>
              </w:rPr>
              <w:t>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0E332C">
            <w:pPr>
              <w:spacing w:after="0" w:line="240" w:lineRule="auto"/>
              <w:jc w:val="center"/>
              <w:rPr>
                <w:b/>
                <w:bCs/>
                <w:sz w:val="20"/>
                <w:szCs w:val="20"/>
                <w:lang w:val="es-ES"/>
              </w:rPr>
            </w:pPr>
            <w:r>
              <w:rPr>
                <w:b/>
                <w:bCs/>
                <w:lang w:val="es-ES"/>
              </w:rPr>
              <w:t>Febrero</w:t>
            </w:r>
            <w:r w:rsidR="00473B6E">
              <w:rPr>
                <w:b/>
                <w:bCs/>
                <w:lang w:val="es-ES"/>
              </w:rPr>
              <w:t xml:space="preserve"> 2023</w:t>
            </w:r>
          </w:p>
          <w:p w14:paraId="3D0A4598" w14:textId="77777777" w:rsidR="00851F14" w:rsidRDefault="00851F14" w:rsidP="000E332C">
            <w:pPr>
              <w:spacing w:after="0" w:line="240" w:lineRule="auto"/>
              <w:jc w:val="center"/>
              <w:rPr>
                <w:b/>
                <w:bCs/>
                <w:lang w:val="es-ES"/>
              </w:rPr>
            </w:pP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67334BB8" w:rsidR="00851F14" w:rsidRDefault="00516606">
            <w:pPr>
              <w:spacing w:after="0" w:line="240" w:lineRule="auto"/>
              <w:jc w:val="center"/>
              <w:rPr>
                <w:b/>
                <w:bCs/>
                <w:shd w:val="clear" w:color="auto" w:fill="FFFFFF"/>
              </w:rPr>
            </w:pPr>
            <w:r>
              <w:rPr>
                <w:b/>
                <w:bCs/>
                <w:shd w:val="clear" w:color="auto" w:fill="FFFFFF"/>
                <w:lang w:val="en-US"/>
              </w:rPr>
              <w:t>Ju</w:t>
            </w:r>
            <w:r w:rsidR="00C94EB3">
              <w:rPr>
                <w:b/>
                <w:bCs/>
                <w:shd w:val="clear" w:color="auto" w:fill="FFFFFF"/>
                <w:lang w:val="en-US"/>
              </w:rPr>
              <w:t>l</w:t>
            </w:r>
            <w:r>
              <w:rPr>
                <w:b/>
                <w:bCs/>
                <w:shd w:val="clear" w:color="auto" w:fill="FFFFFF"/>
                <w:lang w:val="en-US"/>
              </w:rPr>
              <w:t>io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3450DBAB" w:rsidR="00851F14" w:rsidRDefault="00DA359C">
            <w:pPr>
              <w:spacing w:after="0" w:line="240" w:lineRule="auto"/>
              <w:jc w:val="center"/>
              <w:rPr>
                <w:b/>
                <w:bCs/>
                <w:sz w:val="20"/>
                <w:szCs w:val="20"/>
              </w:rPr>
            </w:pPr>
            <w:r>
              <w:rPr>
                <w:b/>
                <w:bCs/>
                <w:lang w:val="es-ES"/>
              </w:rPr>
              <w:t xml:space="preserve"> </w:t>
            </w:r>
            <w:r w:rsidR="00A20DD3">
              <w:rPr>
                <w:b/>
                <w:bCs/>
                <w:lang w:val="es-ES"/>
              </w:rPr>
              <w:t>Juni</w:t>
            </w:r>
            <w:r w:rsidR="00A20DD3">
              <w:rPr>
                <w:b/>
                <w:bCs/>
                <w:shd w:val="clear" w:color="auto" w:fill="FFFFFF"/>
                <w:lang w:val="en-US"/>
              </w:rPr>
              <w:t>o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DA359C">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1460537F" w:rsidR="00851F14" w:rsidRDefault="00EE6D39">
            <w:pPr>
              <w:spacing w:after="0" w:line="240" w:lineRule="auto"/>
              <w:jc w:val="center"/>
              <w:rPr>
                <w:b/>
                <w:bCs/>
                <w:lang w:val="en-US"/>
              </w:rPr>
            </w:pPr>
            <w:r>
              <w:rPr>
                <w:b/>
                <w:bCs/>
                <w:lang w:val="en-US"/>
              </w:rPr>
              <w:t xml:space="preserve">Junio </w:t>
            </w:r>
            <w:r w:rsidR="001374F2">
              <w:rPr>
                <w:b/>
                <w:bCs/>
                <w:lang w:val="en-US"/>
              </w:rPr>
              <w:t>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45DAC5B8" w:rsidR="00851F14" w:rsidRDefault="00A20DD3">
            <w:pPr>
              <w:spacing w:after="0" w:line="240" w:lineRule="auto"/>
              <w:jc w:val="center"/>
              <w:rPr>
                <w:b/>
                <w:bCs/>
                <w:lang w:val="en-US"/>
              </w:rPr>
            </w:pPr>
            <w:r>
              <w:rPr>
                <w:b/>
                <w:bCs/>
                <w:lang w:val="en-US"/>
              </w:rPr>
              <w:t>Junio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152B104C" w:rsidR="00851F14" w:rsidRDefault="00A20DD3">
            <w:pPr>
              <w:spacing w:after="0" w:line="240" w:lineRule="auto"/>
              <w:jc w:val="center"/>
              <w:rPr>
                <w:b/>
                <w:bCs/>
                <w:lang w:val="en-US"/>
              </w:rPr>
            </w:pPr>
            <w:r>
              <w:rPr>
                <w:b/>
                <w:bCs/>
                <w:shd w:val="clear" w:color="auto" w:fill="FFFFFF"/>
                <w:lang w:val="en-US"/>
              </w:rPr>
              <w:t>Junio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DA359C">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100" w:history="1">
              <w:r w:rsidR="00DA359C">
                <w:rPr>
                  <w:rStyle w:val="Hipervnculo"/>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DA359C">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8768D0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70C2DE4" w14:textId="77777777" w:rsidR="00851F14" w:rsidRDefault="00851F14">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DA359C">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DA359C">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DA359C">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DA359C">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DA359C">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DA359C">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DA359C">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DA359C">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DA359C">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DA359C">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DA359C">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DA359C">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DA359C">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DA359C">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DA359C">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3" w:history="1">
              <w:r w:rsidR="00DA359C">
                <w:rPr>
                  <w:rStyle w:val="Hipervnculo"/>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DA359C">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DA359C">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4" w:history="1">
              <w:r w:rsidR="00DA359C">
                <w:rPr>
                  <w:rStyle w:val="Hipervnculo"/>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DA359C">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5" w:history="1">
              <w:r w:rsidR="00DA359C">
                <w:rPr>
                  <w:rStyle w:val="Hipervnculo"/>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DA359C">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DA359C">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6" w:history="1">
              <w:r w:rsidR="00DA359C">
                <w:rPr>
                  <w:rStyle w:val="Hipervnculo"/>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DA359C">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7"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ipervnculo"/>
                <w:color w:val="auto"/>
                <w:sz w:val="20"/>
                <w:szCs w:val="20"/>
                <w:u w:val="none"/>
              </w:rPr>
            </w:pPr>
            <w:hyperlink r:id="rId118" w:history="1">
              <w:r w:rsidR="00DA359C">
                <w:rPr>
                  <w:rStyle w:val="Hipervnculo"/>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ipervnculo"/>
                <w:color w:val="auto"/>
                <w:sz w:val="20"/>
                <w:szCs w:val="20"/>
                <w:u w:val="none"/>
              </w:rPr>
            </w:pPr>
          </w:p>
        </w:tc>
        <w:tc>
          <w:tcPr>
            <w:tcW w:w="1843" w:type="dxa"/>
            <w:vAlign w:val="center"/>
          </w:tcPr>
          <w:p w14:paraId="3F1A814C" w14:textId="062C4C38" w:rsidR="00851F14" w:rsidRDefault="00725CE9">
            <w:pPr>
              <w:spacing w:after="0" w:line="240" w:lineRule="auto"/>
              <w:jc w:val="center"/>
              <w:rPr>
                <w:lang w:val="en-US"/>
              </w:rPr>
            </w:pPr>
            <w:r>
              <w:rPr>
                <w:b/>
                <w:bCs/>
                <w:lang w:val="en-US"/>
              </w:rPr>
              <w:t>Junio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DA359C">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9"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0"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DA359C">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1"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2">
              <w:r w:rsidR="00DA359C">
                <w:rPr>
                  <w:rStyle w:val="Hipervnculo"/>
                  <w:sz w:val="20"/>
                  <w:szCs w:val="20"/>
                </w:rPr>
                <w:t>https://ogtic.gob.do/transparencia/documentos/presupuesto-aprobado/</w:t>
              </w:r>
            </w:hyperlink>
          </w:p>
        </w:tc>
        <w:tc>
          <w:tcPr>
            <w:tcW w:w="1843" w:type="dxa"/>
            <w:vAlign w:val="center"/>
          </w:tcPr>
          <w:p w14:paraId="4964CA5B" w14:textId="1FF7F09C" w:rsidR="00851F14" w:rsidRDefault="00516606">
            <w:pPr>
              <w:spacing w:after="0" w:line="240" w:lineRule="auto"/>
              <w:jc w:val="center"/>
              <w:rPr>
                <w:sz w:val="20"/>
                <w:szCs w:val="20"/>
              </w:rPr>
            </w:pPr>
            <w:r>
              <w:rPr>
                <w:b/>
                <w:bCs/>
                <w:lang w:val="en-US"/>
              </w:rPr>
              <w:t>Ju</w:t>
            </w:r>
            <w:r w:rsidR="005F55DF">
              <w:rPr>
                <w:b/>
                <w:bCs/>
                <w:lang w:val="en-US"/>
              </w:rPr>
              <w:t>l</w:t>
            </w:r>
            <w:r>
              <w:rPr>
                <w:b/>
                <w:bCs/>
                <w:lang w:val="en-US"/>
              </w:rPr>
              <w:t>io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3"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4"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09E141E2" w:rsidR="00851F14" w:rsidRDefault="00516606">
            <w:pPr>
              <w:spacing w:after="0" w:line="240" w:lineRule="auto"/>
              <w:jc w:val="center"/>
              <w:rPr>
                <w:sz w:val="20"/>
                <w:szCs w:val="20"/>
              </w:rPr>
            </w:pPr>
            <w:r>
              <w:rPr>
                <w:b/>
                <w:bCs/>
                <w:lang w:val="en-US"/>
              </w:rPr>
              <w:t>Ju</w:t>
            </w:r>
            <w:r w:rsidR="005F55DF">
              <w:rPr>
                <w:b/>
                <w:bCs/>
                <w:lang w:val="en-US"/>
              </w:rPr>
              <w:t>l</w:t>
            </w:r>
            <w:r>
              <w:rPr>
                <w:b/>
                <w:bCs/>
                <w:lang w:val="en-US"/>
              </w:rPr>
              <w:t>io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DA359C">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5"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6"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2B49234" w:rsidR="00851F14" w:rsidRDefault="00516606">
            <w:pPr>
              <w:spacing w:after="0" w:line="240" w:lineRule="auto"/>
              <w:jc w:val="center"/>
              <w:rPr>
                <w:b/>
                <w:bCs/>
                <w:lang w:val="es-ES"/>
              </w:rPr>
            </w:pPr>
            <w:r>
              <w:rPr>
                <w:b/>
                <w:bCs/>
                <w:lang w:val="en-US"/>
              </w:rPr>
              <w:t>Ju</w:t>
            </w:r>
            <w:r w:rsidR="005F55DF">
              <w:rPr>
                <w:b/>
                <w:bCs/>
                <w:lang w:val="en-US"/>
              </w:rPr>
              <w:t>l</w:t>
            </w:r>
            <w:r>
              <w:rPr>
                <w:b/>
                <w:bCs/>
                <w:lang w:val="en-US"/>
              </w:rPr>
              <w:t>io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7"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514E99B6" w:rsidR="00851F14" w:rsidRDefault="00516606">
            <w:pPr>
              <w:spacing w:after="0" w:line="240" w:lineRule="auto"/>
              <w:jc w:val="center"/>
              <w:rPr>
                <w:sz w:val="20"/>
                <w:szCs w:val="20"/>
              </w:rPr>
            </w:pPr>
            <w:r>
              <w:rPr>
                <w:b/>
                <w:bCs/>
                <w:lang w:val="en-US"/>
              </w:rPr>
              <w:t>Ju</w:t>
            </w:r>
            <w:r w:rsidR="005F55DF">
              <w:rPr>
                <w:b/>
                <w:bCs/>
                <w:lang w:val="en-US"/>
              </w:rPr>
              <w:t>l</w:t>
            </w:r>
            <w:r>
              <w:rPr>
                <w:b/>
                <w:bCs/>
                <w:lang w:val="en-US"/>
              </w:rPr>
              <w:t>io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8"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9">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78DA243F" w:rsidR="00851F14" w:rsidRDefault="00516606">
            <w:pPr>
              <w:spacing w:after="0" w:line="240" w:lineRule="auto"/>
              <w:jc w:val="center"/>
              <w:rPr>
                <w:b/>
                <w:bCs/>
                <w:sz w:val="20"/>
                <w:szCs w:val="20"/>
              </w:rPr>
            </w:pPr>
            <w:r>
              <w:rPr>
                <w:b/>
                <w:bCs/>
                <w:lang w:val="en-US"/>
              </w:rPr>
              <w:t>Ju</w:t>
            </w:r>
            <w:r w:rsidR="00605437">
              <w:rPr>
                <w:b/>
                <w:bCs/>
                <w:lang w:val="en-US"/>
              </w:rPr>
              <w:t>l</w:t>
            </w:r>
            <w:r>
              <w:rPr>
                <w:b/>
                <w:bCs/>
                <w:lang w:val="en-US"/>
              </w:rPr>
              <w:t>io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31" w:history="1">
              <w:r w:rsidR="00DA359C">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2" w:history="1">
              <w:r w:rsidR="00DA359C">
                <w:rPr>
                  <w:rStyle w:val="Hipervnculo"/>
                </w:rPr>
                <w:t>https://ogtic.gob.do/transparencia/documentos/licitaciones-publicas-nacional-e-internacional/</w:t>
              </w:r>
            </w:hyperlink>
          </w:p>
        </w:tc>
        <w:tc>
          <w:tcPr>
            <w:tcW w:w="1843" w:type="dxa"/>
            <w:vAlign w:val="center"/>
          </w:tcPr>
          <w:p w14:paraId="74350A03" w14:textId="12421BD5" w:rsidR="00851F14" w:rsidRDefault="00516606">
            <w:pPr>
              <w:spacing w:after="0" w:line="240" w:lineRule="auto"/>
              <w:jc w:val="center"/>
              <w:rPr>
                <w:b/>
                <w:bCs/>
                <w:lang w:val="es-ES"/>
              </w:rPr>
            </w:pPr>
            <w:r>
              <w:rPr>
                <w:b/>
                <w:bCs/>
                <w:lang w:val="en-US"/>
              </w:rPr>
              <w:t>Ju</w:t>
            </w:r>
            <w:r w:rsidR="00605437">
              <w:rPr>
                <w:b/>
                <w:bCs/>
                <w:lang w:val="en-US"/>
              </w:rPr>
              <w:t>l</w:t>
            </w:r>
            <w:r>
              <w:rPr>
                <w:b/>
                <w:bCs/>
                <w:lang w:val="en-US"/>
              </w:rPr>
              <w:t>io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3">
              <w:r w:rsidR="00DA359C">
                <w:rPr>
                  <w:rStyle w:val="Hipervnculo"/>
                </w:rPr>
                <w:t>https://ogtic.gob.do/transparencia/documentos/licitaciones-restringidas/</w:t>
              </w:r>
            </w:hyperlink>
          </w:p>
        </w:tc>
        <w:tc>
          <w:tcPr>
            <w:tcW w:w="1843" w:type="dxa"/>
            <w:vAlign w:val="center"/>
          </w:tcPr>
          <w:p w14:paraId="2B8A6901" w14:textId="7856D2DD"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4">
              <w:r w:rsidR="00DA359C">
                <w:rPr>
                  <w:rStyle w:val="Hipervnculo"/>
                </w:rPr>
                <w:t>https://ogtic.gob.do/transparencia/documentos/sorteo-de-obras/</w:t>
              </w:r>
            </w:hyperlink>
          </w:p>
        </w:tc>
        <w:tc>
          <w:tcPr>
            <w:tcW w:w="1843" w:type="dxa"/>
            <w:vAlign w:val="center"/>
          </w:tcPr>
          <w:p w14:paraId="7A9AFFAE" w14:textId="15A35F82"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5">
              <w:r w:rsidR="00DA359C">
                <w:rPr>
                  <w:rStyle w:val="Hipervnculo"/>
                </w:rPr>
                <w:t>https://ogtic.gob.do/transparencia/documentos/comparaciones-de-precios/</w:t>
              </w:r>
            </w:hyperlink>
          </w:p>
        </w:tc>
        <w:tc>
          <w:tcPr>
            <w:tcW w:w="1843" w:type="dxa"/>
            <w:vAlign w:val="center"/>
          </w:tcPr>
          <w:p w14:paraId="26F7CF9D" w14:textId="36B947B6"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6" w:history="1">
              <w:r w:rsidR="00DA359C">
                <w:rPr>
                  <w:rStyle w:val="Hipervnculo"/>
                </w:rPr>
                <w:t>https://ogtic.gob.do/transparencia/documentos/compras-menores/</w:t>
              </w:r>
            </w:hyperlink>
          </w:p>
        </w:tc>
        <w:tc>
          <w:tcPr>
            <w:tcW w:w="1843" w:type="dxa"/>
            <w:vAlign w:val="center"/>
          </w:tcPr>
          <w:p w14:paraId="42F6CAA4" w14:textId="272E6B95"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7" w:history="1">
              <w:r w:rsidR="00DA359C">
                <w:rPr>
                  <w:rStyle w:val="Hipervnculo"/>
                </w:rPr>
                <w:t>https://ogtic.gob.do/transparencia/documentos/subasta-inversa/</w:t>
              </w:r>
            </w:hyperlink>
          </w:p>
        </w:tc>
        <w:tc>
          <w:tcPr>
            <w:tcW w:w="1843" w:type="dxa"/>
            <w:vAlign w:val="center"/>
          </w:tcPr>
          <w:p w14:paraId="08C3075D" w14:textId="0B9CE8D7"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8" w:history="1">
              <w:r w:rsidR="00DA359C">
                <w:rPr>
                  <w:rStyle w:val="Hipervnculo"/>
                </w:rPr>
                <w:t>https://ogtic.gob.do/transparencia/documentos/relacion-de-compras-por-debajo-del-umbral/</w:t>
              </w:r>
            </w:hyperlink>
          </w:p>
        </w:tc>
        <w:tc>
          <w:tcPr>
            <w:tcW w:w="1843" w:type="dxa"/>
            <w:vAlign w:val="center"/>
          </w:tcPr>
          <w:p w14:paraId="036CD74F" w14:textId="33C7E1AE"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9">
              <w:r w:rsidR="00DA359C">
                <w:rPr>
                  <w:rStyle w:val="Hipervnculo"/>
                </w:rPr>
                <w:t>https://ogtic.gob.do/transparencia/documentos/julio-2021-micro-pequenas-y-medianas-empresas/</w:t>
              </w:r>
            </w:hyperlink>
          </w:p>
        </w:tc>
        <w:tc>
          <w:tcPr>
            <w:tcW w:w="1843" w:type="dxa"/>
            <w:vAlign w:val="center"/>
          </w:tcPr>
          <w:p w14:paraId="39482054" w14:textId="55FD96F2" w:rsidR="00851F14" w:rsidRDefault="00516606">
            <w:pPr>
              <w:spacing w:after="0" w:line="240" w:lineRule="auto"/>
              <w:jc w:val="center"/>
              <w:rPr>
                <w:b/>
                <w:bCs/>
                <w:lang w:val="es-ES"/>
              </w:rPr>
            </w:pPr>
            <w:r>
              <w:rPr>
                <w:b/>
                <w:bCs/>
                <w:lang w:val="en-US"/>
              </w:rPr>
              <w:t>Ju</w:t>
            </w:r>
            <w:r w:rsidR="00477D58">
              <w:rPr>
                <w:b/>
                <w:bCs/>
                <w:lang w:val="en-US"/>
              </w:rPr>
              <w:t>l</w:t>
            </w:r>
            <w:r>
              <w:rPr>
                <w:b/>
                <w:bCs/>
                <w:lang w:val="en-US"/>
              </w:rPr>
              <w:t>io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0" w:history="1">
              <w:r w:rsidR="00DA359C">
                <w:rPr>
                  <w:rStyle w:val="Hipervnculo"/>
                </w:rPr>
                <w:t>https://ogtic.gob.do/transparencia/documentos/casos-de-seguridad-y-emergencia-nacional/</w:t>
              </w:r>
            </w:hyperlink>
          </w:p>
        </w:tc>
        <w:tc>
          <w:tcPr>
            <w:tcW w:w="1843" w:type="dxa"/>
            <w:vAlign w:val="center"/>
          </w:tcPr>
          <w:p w14:paraId="7267F81B" w14:textId="08C51736"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1">
              <w:r w:rsidR="00DA359C">
                <w:rPr>
                  <w:rStyle w:val="Hipervnculo"/>
                </w:rPr>
                <w:t>https://ogtic.gob.do/transparencia/documentos/casos-de-urgencias/</w:t>
              </w:r>
            </w:hyperlink>
          </w:p>
        </w:tc>
        <w:tc>
          <w:tcPr>
            <w:tcW w:w="1843" w:type="dxa"/>
            <w:vAlign w:val="center"/>
          </w:tcPr>
          <w:p w14:paraId="155A231A" w14:textId="1377AF8B"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DA359C">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2">
              <w:r w:rsidR="00DA359C">
                <w:rPr>
                  <w:rStyle w:val="Hipervnculo"/>
                </w:rPr>
                <w:t>https://ogtic.gob.do/transparencia/documentos/proceso-de-excepcion-por-indicados-en-el-reglamento-543-12/</w:t>
              </w:r>
            </w:hyperlink>
          </w:p>
        </w:tc>
        <w:tc>
          <w:tcPr>
            <w:tcW w:w="1843" w:type="dxa"/>
            <w:vAlign w:val="center"/>
          </w:tcPr>
          <w:p w14:paraId="611F2D62" w14:textId="27D4A5C7"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3">
              <w:r w:rsidR="00DA359C">
                <w:rPr>
                  <w:rStyle w:val="Hipervnculo"/>
                </w:rPr>
                <w:t>https://ogtic.gob.do/transparencia/documentos/relacion-de-estado-de-cuentas-de-suplidores/</w:t>
              </w:r>
            </w:hyperlink>
          </w:p>
        </w:tc>
        <w:tc>
          <w:tcPr>
            <w:tcW w:w="1843" w:type="dxa"/>
            <w:vAlign w:val="center"/>
          </w:tcPr>
          <w:p w14:paraId="492F63D9" w14:textId="2882F0D8"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DA359C">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4">
              <w:r w:rsidR="00DA359C">
                <w:rPr>
                  <w:rStyle w:val="Hipervnculo"/>
                </w:rPr>
                <w:t>https://ogtic.gob.do/transparencia/documentos/historico-lista-de-compras-y-contrataciones-realizadas-y-aprobadas/</w:t>
              </w:r>
            </w:hyperlink>
          </w:p>
        </w:tc>
        <w:tc>
          <w:tcPr>
            <w:tcW w:w="1843" w:type="dxa"/>
            <w:vAlign w:val="center"/>
          </w:tcPr>
          <w:p w14:paraId="0363FDA4" w14:textId="37031C58"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5"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6">
              <w:r w:rsidR="00DA359C">
                <w:rPr>
                  <w:rStyle w:val="Hipervnculo"/>
                  <w:rFonts w:cs="Tahoma"/>
                  <w:sz w:val="20"/>
                  <w:szCs w:val="20"/>
                </w:rPr>
                <w:t>https://ogtic.gob.do/transparencia/documentos/descripcion-de-los-programas-y-proyectos/</w:t>
              </w:r>
            </w:hyperlink>
          </w:p>
        </w:tc>
        <w:tc>
          <w:tcPr>
            <w:tcW w:w="1843" w:type="dxa"/>
            <w:vAlign w:val="center"/>
          </w:tcPr>
          <w:p w14:paraId="6CADB5D7" w14:textId="2F457834" w:rsidR="00851F14" w:rsidRDefault="00516606">
            <w:pPr>
              <w:spacing w:after="0" w:line="240" w:lineRule="auto"/>
              <w:jc w:val="center"/>
              <w:rPr>
                <w:sz w:val="20"/>
                <w:szCs w:val="20"/>
              </w:rPr>
            </w:pPr>
            <w:r>
              <w:rPr>
                <w:b/>
                <w:bCs/>
                <w:lang w:val="en-US"/>
              </w:rPr>
              <w:t>Ju</w:t>
            </w:r>
            <w:r w:rsidR="00772984">
              <w:rPr>
                <w:b/>
                <w:bCs/>
                <w:lang w:val="en-US"/>
              </w:rPr>
              <w:t>l</w:t>
            </w:r>
            <w:r>
              <w:rPr>
                <w:b/>
                <w:bCs/>
                <w:lang w:val="en-US"/>
              </w:rPr>
              <w:t>io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7">
              <w:r w:rsidR="00DA359C">
                <w:rPr>
                  <w:rStyle w:val="Hipervnculo"/>
                  <w:rFonts w:cs="Tahoma"/>
                  <w:sz w:val="20"/>
                  <w:szCs w:val="20"/>
                </w:rPr>
                <w:t>https://ogtic.gob.do/transparencia/documentos/informes-de-seguimiento-a-los-programas-y-proyectos/</w:t>
              </w:r>
            </w:hyperlink>
          </w:p>
        </w:tc>
        <w:tc>
          <w:tcPr>
            <w:tcW w:w="1843" w:type="dxa"/>
            <w:vAlign w:val="center"/>
          </w:tcPr>
          <w:p w14:paraId="51AC7C55" w14:textId="703DADF3"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8" w:history="1">
              <w:r w:rsidR="00DA359C">
                <w:rPr>
                  <w:rStyle w:val="Hipervnculo"/>
                  <w:rFonts w:cs="Tahoma"/>
                  <w:sz w:val="20"/>
                  <w:szCs w:val="20"/>
                </w:rPr>
                <w:t>https://ogtic.gob.do/transparencia/documentos/calendario-de-ejecucion-a-los-programas-y-proyectos/</w:t>
              </w:r>
            </w:hyperlink>
          </w:p>
        </w:tc>
        <w:tc>
          <w:tcPr>
            <w:tcW w:w="1843" w:type="dxa"/>
            <w:vAlign w:val="center"/>
          </w:tcPr>
          <w:p w14:paraId="0D247636" w14:textId="0B8D731C"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9">
              <w:r w:rsidR="00DA359C">
                <w:rPr>
                  <w:rStyle w:val="Hipervnculo"/>
                  <w:rFonts w:cs="Tahoma"/>
                  <w:sz w:val="20"/>
                  <w:szCs w:val="20"/>
                </w:rPr>
                <w:t>https://ogtic.gob.do/transparencia/documentos/informes-de-presupuesto-sobre-programas-y-proyectos/</w:t>
              </w:r>
            </w:hyperlink>
          </w:p>
        </w:tc>
        <w:tc>
          <w:tcPr>
            <w:tcW w:w="1843" w:type="dxa"/>
            <w:vAlign w:val="center"/>
          </w:tcPr>
          <w:p w14:paraId="0DC8E28D" w14:textId="40260380" w:rsidR="00851F14" w:rsidRDefault="00516606">
            <w:pPr>
              <w:spacing w:after="0" w:line="240" w:lineRule="auto"/>
              <w:jc w:val="center"/>
              <w:rPr>
                <w:b/>
                <w:bCs/>
                <w:lang w:val="es-ES"/>
              </w:rPr>
            </w:pPr>
            <w:r>
              <w:rPr>
                <w:b/>
                <w:bCs/>
                <w:lang w:val="en-US"/>
              </w:rPr>
              <w:t>Ju</w:t>
            </w:r>
            <w:r w:rsidR="00772984">
              <w:rPr>
                <w:b/>
                <w:bCs/>
                <w:lang w:val="en-US"/>
              </w:rPr>
              <w:t>l</w:t>
            </w:r>
            <w:r>
              <w:rPr>
                <w:b/>
                <w:bCs/>
                <w:lang w:val="en-US"/>
              </w:rPr>
              <w:t>io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0"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1"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A2727AB" w:rsidR="00851F14" w:rsidRDefault="00516606">
            <w:pPr>
              <w:spacing w:after="0" w:line="240" w:lineRule="auto"/>
              <w:jc w:val="center"/>
              <w:rPr>
                <w:b/>
                <w:bCs/>
                <w:lang w:val="es-ES"/>
              </w:rPr>
            </w:pPr>
            <w:r>
              <w:rPr>
                <w:b/>
                <w:bCs/>
                <w:lang w:val="en-US"/>
              </w:rPr>
              <w:t>Ju</w:t>
            </w:r>
            <w:r w:rsidR="00904715">
              <w:rPr>
                <w:b/>
                <w:bCs/>
                <w:lang w:val="en-US"/>
              </w:rPr>
              <w:t>l</w:t>
            </w:r>
            <w:r>
              <w:rPr>
                <w:b/>
                <w:bCs/>
                <w:lang w:val="en-US"/>
              </w:rPr>
              <w:t>io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DA359C">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2"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23603472" w:rsidR="00851F14" w:rsidRDefault="00DA359C">
            <w:pPr>
              <w:spacing w:after="0" w:line="240" w:lineRule="auto"/>
              <w:jc w:val="center"/>
              <w:rPr>
                <w:b/>
                <w:bCs/>
                <w:lang w:val="es-ES"/>
              </w:rPr>
            </w:pPr>
            <w:r>
              <w:rPr>
                <w:b/>
                <w:bCs/>
                <w:lang w:val="es-ES"/>
              </w:rPr>
              <w:t xml:space="preserve"> </w:t>
            </w:r>
            <w:r w:rsidR="00516606">
              <w:rPr>
                <w:b/>
                <w:bCs/>
                <w:lang w:val="en-US"/>
              </w:rPr>
              <w:t>Ju</w:t>
            </w:r>
            <w:r w:rsidR="00904715">
              <w:rPr>
                <w:b/>
                <w:bCs/>
                <w:lang w:val="en-US"/>
              </w:rPr>
              <w:t>l</w:t>
            </w:r>
            <w:r w:rsidR="00516606">
              <w:rPr>
                <w:b/>
                <w:bCs/>
                <w:lang w:val="en-US"/>
              </w:rPr>
              <w:t>io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DA359C">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3"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4"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5"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24AA7E90" w:rsidR="00851F14" w:rsidRDefault="00516606">
            <w:pPr>
              <w:spacing w:after="0" w:line="240" w:lineRule="auto"/>
              <w:jc w:val="center"/>
              <w:rPr>
                <w:sz w:val="20"/>
                <w:szCs w:val="20"/>
              </w:rPr>
            </w:pPr>
            <w:r>
              <w:rPr>
                <w:b/>
                <w:bCs/>
                <w:lang w:val="en-US"/>
              </w:rPr>
              <w:t>Ju</w:t>
            </w:r>
            <w:r w:rsidR="00904715">
              <w:rPr>
                <w:b/>
                <w:bCs/>
                <w:lang w:val="en-US"/>
              </w:rPr>
              <w:t>l</w:t>
            </w:r>
            <w:r>
              <w:rPr>
                <w:b/>
                <w:bCs/>
                <w:lang w:val="en-US"/>
              </w:rPr>
              <w:t>io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6"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7"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3C2500DA" w:rsidR="00851F14" w:rsidRDefault="00516606">
            <w:pPr>
              <w:spacing w:after="0" w:line="240" w:lineRule="auto"/>
              <w:jc w:val="center"/>
              <w:rPr>
                <w:sz w:val="20"/>
                <w:szCs w:val="20"/>
              </w:rPr>
            </w:pPr>
            <w:r>
              <w:rPr>
                <w:b/>
                <w:bCs/>
                <w:lang w:val="en-US"/>
              </w:rPr>
              <w:t>Ju</w:t>
            </w:r>
            <w:r w:rsidR="00904715">
              <w:rPr>
                <w:b/>
                <w:bCs/>
                <w:lang w:val="en-US"/>
              </w:rPr>
              <w:t>l</w:t>
            </w:r>
            <w:r>
              <w:rPr>
                <w:b/>
                <w:bCs/>
                <w:lang w:val="en-US"/>
              </w:rPr>
              <w:t>io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7D90C6B5" w:rsidR="00851F14" w:rsidRDefault="00B2385B">
            <w:pPr>
              <w:spacing w:after="0" w:line="240" w:lineRule="auto"/>
              <w:jc w:val="center"/>
              <w:rPr>
                <w:rFonts w:cstheme="minorHAnsi"/>
                <w:sz w:val="20"/>
                <w:szCs w:val="20"/>
                <w:lang w:val="en-US"/>
              </w:rPr>
            </w:pPr>
            <w:r>
              <w:rPr>
                <w:b/>
                <w:lang w:val="en-US"/>
              </w:rPr>
              <w:t>Junio</w:t>
            </w:r>
            <w:r w:rsidR="002644A2">
              <w:rPr>
                <w:b/>
                <w:lang w:val="en-US"/>
              </w:rPr>
              <w:t xml:space="preserve"> </w:t>
            </w:r>
            <w:r w:rsidR="001374F2">
              <w:rPr>
                <w:b/>
                <w:lang w:val="en-US"/>
              </w:rPr>
              <w:t xml:space="preserve">  202</w:t>
            </w:r>
            <w:r>
              <w:rPr>
                <w:b/>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9"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48F15846" w:rsidR="00851F14" w:rsidRDefault="00AB1CF2">
            <w:pPr>
              <w:spacing w:after="0" w:line="240" w:lineRule="auto"/>
              <w:jc w:val="center"/>
              <w:rPr>
                <w:sz w:val="20"/>
                <w:szCs w:val="20"/>
              </w:rPr>
            </w:pPr>
            <w:proofErr w:type="gramStart"/>
            <w:r>
              <w:rPr>
                <w:b/>
                <w:bCs/>
                <w:lang w:val="en-US"/>
              </w:rPr>
              <w:t>Ju</w:t>
            </w:r>
            <w:r w:rsidR="00B2385B">
              <w:rPr>
                <w:b/>
                <w:bCs/>
                <w:lang w:val="en-US"/>
              </w:rPr>
              <w:t>n</w:t>
            </w:r>
            <w:r>
              <w:rPr>
                <w:b/>
                <w:bCs/>
                <w:lang w:val="en-US"/>
              </w:rPr>
              <w:t>i</w:t>
            </w:r>
            <w:r w:rsidR="002644A2">
              <w:rPr>
                <w:b/>
                <w:bCs/>
                <w:lang w:val="en-US"/>
              </w:rPr>
              <w:t>o</w:t>
            </w:r>
            <w:r w:rsidR="001374F2">
              <w:rPr>
                <w:b/>
                <w:bCs/>
                <w:lang w:val="en-US"/>
              </w:rPr>
              <w:t xml:space="preserve">  2023</w:t>
            </w:r>
            <w:proofErr w:type="gramEnd"/>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1"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62" w:history="1">
              <w:r w:rsidR="00DA359C">
                <w:rPr>
                  <w:rStyle w:val="Hipervnculo"/>
                </w:rPr>
                <w:t>https://ogtic.gob.do/transparencia/documentos/nomina-datos-abiertos-2018-a-2020/</w:t>
              </w:r>
            </w:hyperlink>
          </w:p>
        </w:tc>
        <w:tc>
          <w:tcPr>
            <w:tcW w:w="1843" w:type="dxa"/>
            <w:vAlign w:val="center"/>
          </w:tcPr>
          <w:p w14:paraId="0D3386D3" w14:textId="4148ADAE" w:rsidR="00851F14" w:rsidRDefault="00516606">
            <w:pPr>
              <w:spacing w:after="0" w:line="240" w:lineRule="auto"/>
              <w:jc w:val="center"/>
              <w:rPr>
                <w:b/>
                <w:bCs/>
                <w:lang w:val="es-ES"/>
              </w:rPr>
            </w:pPr>
            <w:r>
              <w:rPr>
                <w:b/>
                <w:bCs/>
                <w:lang w:val="en-US"/>
              </w:rPr>
              <w:t>Ju</w:t>
            </w:r>
            <w:r w:rsidR="002B2716">
              <w:rPr>
                <w:b/>
                <w:bCs/>
                <w:lang w:val="en-US"/>
              </w:rPr>
              <w:t>l</w:t>
            </w:r>
            <w:r>
              <w:rPr>
                <w:b/>
                <w:bCs/>
                <w:lang w:val="en-US"/>
              </w:rPr>
              <w:t>io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3" w:history="1">
              <w:r w:rsidR="00DA359C">
                <w:rPr>
                  <w:rStyle w:val="Hipervnculo"/>
                </w:rPr>
                <w:t>https://ogtic.gob.do/transparencia/documentos/estadisticas-oficina-acceso-a-la-informacion-oai-2018-2019/</w:t>
              </w:r>
            </w:hyperlink>
          </w:p>
        </w:tc>
        <w:tc>
          <w:tcPr>
            <w:tcW w:w="1843" w:type="dxa"/>
            <w:vAlign w:val="center"/>
          </w:tcPr>
          <w:p w14:paraId="135C1894" w14:textId="0AA8D593" w:rsidR="00851F14" w:rsidRDefault="00AB1CF2">
            <w:pPr>
              <w:spacing w:after="0" w:line="240" w:lineRule="auto"/>
              <w:jc w:val="center"/>
              <w:rPr>
                <w:b/>
                <w:bCs/>
                <w:lang w:val="es-ES"/>
              </w:rPr>
            </w:pPr>
            <w:r>
              <w:rPr>
                <w:b/>
                <w:bCs/>
                <w:lang w:val="en-US"/>
              </w:rPr>
              <w:t>Ju</w:t>
            </w:r>
            <w:r w:rsidR="00B2385B">
              <w:rPr>
                <w:b/>
                <w:bCs/>
                <w:lang w:val="en-US"/>
              </w:rPr>
              <w:t>n</w:t>
            </w:r>
            <w:r>
              <w:rPr>
                <w:b/>
                <w:bCs/>
                <w:lang w:val="en-US"/>
              </w:rPr>
              <w:t>i</w:t>
            </w:r>
            <w:r w:rsidR="00CB40F4">
              <w:rPr>
                <w:b/>
                <w:bCs/>
                <w:lang w:val="en-US"/>
              </w:rPr>
              <w:t>o</w:t>
            </w:r>
            <w:r w:rsidR="00473B6E">
              <w:rPr>
                <w:b/>
                <w:bCs/>
                <w:lang w:val="en-US"/>
              </w:rPr>
              <w:t xml:space="preserv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4" w:history="1">
              <w:r w:rsidR="00DA359C">
                <w:rPr>
                  <w:rStyle w:val="Hipervnculo"/>
                </w:rPr>
                <w:t>https://ogtic.gob.do/transparencia/documentos/estadisticas-centro-de-contacto-gubernamental-ccg-2018-2020/</w:t>
              </w:r>
            </w:hyperlink>
          </w:p>
        </w:tc>
        <w:tc>
          <w:tcPr>
            <w:tcW w:w="1843" w:type="dxa"/>
            <w:vAlign w:val="center"/>
          </w:tcPr>
          <w:p w14:paraId="066963B8" w14:textId="11435092" w:rsidR="00851F14" w:rsidRDefault="00AB1CF2">
            <w:pPr>
              <w:spacing w:after="0" w:line="240" w:lineRule="auto"/>
              <w:jc w:val="center"/>
              <w:rPr>
                <w:b/>
                <w:bCs/>
                <w:lang w:val="es-ES"/>
              </w:rPr>
            </w:pPr>
            <w:r>
              <w:rPr>
                <w:b/>
                <w:bCs/>
                <w:lang w:val="en-US"/>
              </w:rPr>
              <w:t>Ju</w:t>
            </w:r>
            <w:r w:rsidR="00B2385B">
              <w:rPr>
                <w:b/>
                <w:bCs/>
                <w:lang w:val="en-US"/>
              </w:rPr>
              <w:t>n</w:t>
            </w:r>
            <w:r>
              <w:rPr>
                <w:b/>
                <w:bCs/>
                <w:lang w:val="en-US"/>
              </w:rPr>
              <w:t>i</w:t>
            </w:r>
            <w:r w:rsidR="00CB40F4">
              <w:rPr>
                <w:b/>
                <w:bCs/>
                <w:lang w:val="en-US"/>
              </w:rPr>
              <w:t>o</w:t>
            </w:r>
            <w:r w:rsidR="00473B6E">
              <w:rPr>
                <w:b/>
                <w:bCs/>
                <w:lang w:val="en-US"/>
              </w:rPr>
              <w:t xml:space="preserv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DA359C">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5"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DA359C">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2CE1E9E1" w:rsidR="00B2385B" w:rsidRDefault="00B2385B">
            <w:pPr>
              <w:spacing w:after="0" w:line="240" w:lineRule="exact"/>
              <w:rPr>
                <w:b/>
                <w:bCs/>
              </w:rPr>
            </w:pPr>
            <w:r w:rsidRPr="00B2385B">
              <w:rPr>
                <w:b/>
                <w:bCs/>
              </w:rPr>
              <w:br/>
              <w:t>Informe OGTIC,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BBDB3CE" w14:textId="1C497866" w:rsidR="00B2385B" w:rsidRDefault="00B2385B">
            <w:pPr>
              <w:shd w:val="clear" w:color="auto" w:fill="FFFFFF"/>
              <w:spacing w:after="0" w:line="240" w:lineRule="auto"/>
            </w:pPr>
            <w:hyperlink r:id="rId166" w:history="1">
              <w:r w:rsidRPr="00151977">
                <w:rPr>
                  <w:rStyle w:val="Hipervnculo"/>
                </w:rPr>
                <w:t>https://ogtic.gob.do/transparencia/wp-content/uploads/2023/07/OGTIC-Reporte-Datos-Abiertos-1er-semestre-2023.pdf</w:t>
              </w:r>
            </w:hyperlink>
            <w:r>
              <w:t xml:space="preserve"> </w:t>
            </w:r>
          </w:p>
        </w:tc>
        <w:tc>
          <w:tcPr>
            <w:tcW w:w="1843" w:type="dxa"/>
            <w:vAlign w:val="center"/>
          </w:tcPr>
          <w:p w14:paraId="47A7C166" w14:textId="5F2C80D2" w:rsidR="00B2385B" w:rsidRDefault="00B2385B">
            <w:pPr>
              <w:spacing w:after="0" w:line="240" w:lineRule="auto"/>
              <w:jc w:val="center"/>
              <w:rPr>
                <w:b/>
                <w:bCs/>
                <w:lang w:val="es-ES"/>
              </w:rPr>
            </w:pPr>
            <w:r>
              <w:rPr>
                <w:b/>
                <w:bCs/>
                <w:lang w:val="es-ES"/>
              </w:rPr>
              <w:t>Junio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6FEF7F5F" w14:textId="77777777" w:rsidR="008C1A1F" w:rsidRDefault="008C1A1F">
      <w:pPr>
        <w:spacing w:after="0" w:line="240" w:lineRule="auto"/>
        <w:rPr>
          <w:b/>
          <w:bCs/>
          <w:sz w:val="24"/>
          <w:szCs w:val="24"/>
        </w:rPr>
      </w:pPr>
      <w:bookmarkStart w:id="3" w:name="_Hlk78902467"/>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7">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68"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69"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Default="00000000">
            <w:pPr>
              <w:spacing w:after="0" w:line="240" w:lineRule="exact"/>
              <w:rPr>
                <w:b/>
                <w:bCs/>
              </w:rPr>
            </w:pPr>
            <w:hyperlink r:id="rId170" w:tooltip="Go to the Plan de Trabajo CIGCN -OGTIC Categoria de archivo archives." w:history="1">
              <w:r w:rsidR="00B227FE" w:rsidRPr="00B227FE">
                <w:rPr>
                  <w:b/>
                  <w:bCs/>
                </w:rPr>
                <w:br/>
                <w:t>Pla</w:t>
              </w:r>
              <w:r w:rsidR="00B227FE" w:rsidRPr="00B227FE">
                <w:t>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000000">
            <w:pPr>
              <w:shd w:val="clear" w:color="auto" w:fill="FFFFFF" w:themeFill="background1"/>
              <w:spacing w:after="0" w:line="200" w:lineRule="exact"/>
            </w:pPr>
            <w:hyperlink r:id="rId171"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09BCEE02" w14:textId="5E111277" w:rsidR="00851F14" w:rsidRDefault="00000000">
            <w:pPr>
              <w:shd w:val="clear" w:color="auto" w:fill="FFFFFF"/>
              <w:spacing w:after="0" w:line="200" w:lineRule="exact"/>
              <w:rPr>
                <w:rStyle w:val="Hipervnculo"/>
                <w:rFonts w:cstheme="minorHAnsi"/>
                <w:sz w:val="20"/>
                <w:szCs w:val="20"/>
                <w:u w:val="none"/>
              </w:rPr>
            </w:pPr>
            <w:hyperlink r:id="rId172" w:history="1">
              <w:r w:rsidR="00DA359C">
                <w:rPr>
                  <w:rStyle w:val="Hipervnculo"/>
                  <w:rFonts w:cstheme="minorHAnsi"/>
                  <w:sz w:val="20"/>
                  <w:szCs w:val="20"/>
                </w:rPr>
                <w:t>https://ogtic.gob.do/transparencia/documentos/proceso-de-consultas-abiertas/</w:t>
              </w:r>
            </w:hyperlink>
          </w:p>
        </w:tc>
        <w:tc>
          <w:tcPr>
            <w:tcW w:w="1843" w:type="dxa"/>
          </w:tcPr>
          <w:p w14:paraId="300376CE" w14:textId="3D3C4DD0" w:rsidR="00851F14" w:rsidRDefault="00516606">
            <w:pPr>
              <w:spacing w:after="0" w:line="240" w:lineRule="auto"/>
              <w:jc w:val="center"/>
            </w:pPr>
            <w:r>
              <w:rPr>
                <w:b/>
                <w:bCs/>
                <w:lang w:val="en-US"/>
              </w:rPr>
              <w:t>Ju</w:t>
            </w:r>
            <w:r w:rsidR="002B2716">
              <w:rPr>
                <w:b/>
                <w:bCs/>
                <w:lang w:val="en-US"/>
              </w:rPr>
              <w:t>l</w:t>
            </w:r>
            <w:r>
              <w:rPr>
                <w:b/>
                <w:bCs/>
                <w:lang w:val="en-US"/>
              </w:rPr>
              <w:t>io 2023</w:t>
            </w:r>
          </w:p>
        </w:tc>
        <w:tc>
          <w:tcPr>
            <w:tcW w:w="2097" w:type="dxa"/>
          </w:tcPr>
          <w:p w14:paraId="0FF17988"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ipervnculo"/>
                <w:sz w:val="20"/>
                <w:szCs w:val="20"/>
                <w:u w:val="none"/>
              </w:rPr>
            </w:pPr>
            <w:hyperlink r:id="rId173">
              <w:r w:rsidR="00DA359C">
                <w:rPr>
                  <w:rStyle w:val="Hipervnculo"/>
                  <w:sz w:val="20"/>
                  <w:szCs w:val="20"/>
                </w:rPr>
                <w:t>https://ogtic.gob.do/transparencia/documentos/relacion-de-consultas-publicas/</w:t>
              </w:r>
            </w:hyperlink>
          </w:p>
        </w:tc>
        <w:tc>
          <w:tcPr>
            <w:tcW w:w="1843" w:type="dxa"/>
          </w:tcPr>
          <w:p w14:paraId="5DE0B46E" w14:textId="0B99EEAB" w:rsidR="00851F14" w:rsidRDefault="00516606">
            <w:pPr>
              <w:spacing w:after="0" w:line="240" w:lineRule="auto"/>
              <w:jc w:val="center"/>
              <w:rPr>
                <w:b/>
                <w:bCs/>
                <w:lang w:val="es-ES"/>
              </w:rPr>
            </w:pPr>
            <w:r>
              <w:rPr>
                <w:b/>
                <w:bCs/>
                <w:lang w:val="en-US"/>
              </w:rPr>
              <w:t>Ju</w:t>
            </w:r>
            <w:r w:rsidR="002B2716">
              <w:rPr>
                <w:b/>
                <w:bCs/>
                <w:lang w:val="en-US"/>
              </w:rPr>
              <w:t>l</w:t>
            </w:r>
            <w:r>
              <w:rPr>
                <w:b/>
                <w:bCs/>
                <w:lang w:val="en-US"/>
              </w:rPr>
              <w:t>io 2023</w:t>
            </w:r>
          </w:p>
        </w:tc>
        <w:tc>
          <w:tcPr>
            <w:tcW w:w="2097" w:type="dxa"/>
          </w:tcPr>
          <w:p w14:paraId="1076BCF3"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4"/>
      <w:footerReference w:type="default" r:id="rId175"/>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F74B" w14:textId="77777777" w:rsidR="00E024E7" w:rsidRDefault="00E024E7">
      <w:pPr>
        <w:spacing w:line="240" w:lineRule="auto"/>
      </w:pPr>
      <w:r>
        <w:separator/>
      </w:r>
    </w:p>
  </w:endnote>
  <w:endnote w:type="continuationSeparator" w:id="0">
    <w:p w14:paraId="41E0F5A2" w14:textId="77777777" w:rsidR="00E024E7" w:rsidRDefault="00E02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5CCD" w14:textId="77777777" w:rsidR="00E024E7" w:rsidRDefault="00E024E7">
      <w:pPr>
        <w:spacing w:after="0"/>
      </w:pPr>
      <w:r>
        <w:separator/>
      </w:r>
    </w:p>
  </w:footnote>
  <w:footnote w:type="continuationSeparator" w:id="0">
    <w:p w14:paraId="37FDE948" w14:textId="77777777" w:rsidR="00E024E7" w:rsidRDefault="00E02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3C00"/>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332C"/>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0203"/>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397"/>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5DF"/>
    <w:rsid w:val="005F5B15"/>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984"/>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2984"/>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6EB2"/>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57618"/>
    <w:rsid w:val="00B6195A"/>
    <w:rsid w:val="00B62683"/>
    <w:rsid w:val="00B633BF"/>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9E"/>
    <w:rsid w:val="00DA359C"/>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C4D"/>
    <w:rsid w:val="00EE3A4C"/>
    <w:rsid w:val="00EE4CB4"/>
    <w:rsid w:val="00EE4ECD"/>
    <w:rsid w:val="00EE6D39"/>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hyperlink" Target="https://ogtic.gob.do/transparencia/documentos/plan-de-trabaj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hyperlink" Target="https://ogtic.gob.do/transparencia/wp-content/uploads/2022/10/Plan-de-trabajo-2023-de-la-CIGCN-OGTIC.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61" Type="http://schemas.openxmlformats.org/officeDocument/2006/relationships/hyperlink" Target="http://datos.gob.do/organization/http-ogtic-gob-do-index-php"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7" Type="http://schemas.openxmlformats.org/officeDocument/2006/relationships/theme" Target="theme/theme1.xml"/><Relationship Id="rId172" Type="http://schemas.openxmlformats.org/officeDocument/2006/relationships/hyperlink" Target="https://ogtic.gob.do/transparencia/documentos/proceso-de-consultas-abiertas/"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compromiso-mae-cigcn/"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hyperlink" Target="https://ogtic.gob.do/transparencia/documentos/relacion-de-consultas-publicas/"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listado-de-miembros-y-medios-de-contacto-cigcn-ogtic/"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wp-content/uploads/2022/10/Listado-de-Miembros-CIGCN-de-la-OGTIC-Copy.xls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wp-content/uploads/2022/01/INFORME-CIERRE-ANUAL-SISACNOC-2021.pdf" TargetMode="External"/><Relationship Id="rId175" Type="http://schemas.openxmlformats.org/officeDocument/2006/relationships/footer" Target="footer1.xm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6" Type="http://schemas.openxmlformats.org/officeDocument/2006/relationships/fontTable" Target="fontTable.xm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comunidad.comprasdominicana.gob.do/STS/DGCP/Login.aspx" TargetMode="External"/><Relationship Id="rId166" Type="http://schemas.openxmlformats.org/officeDocument/2006/relationships/hyperlink" Target="https://ogtic.gob.do/transparencia/wp-content/uploads/2023/07/OGTIC-Reporte-Datos-Abiertos-1er-semestre-2023.pdf"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14</TotalTime>
  <Pages>29</Pages>
  <Words>8958</Words>
  <Characters>49274</Characters>
  <Application>Microsoft Office Word</Application>
  <DocSecurity>0</DocSecurity>
  <Lines>410</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4</cp:revision>
  <cp:lastPrinted>2023-06-02T14:40:00Z</cp:lastPrinted>
  <dcterms:created xsi:type="dcterms:W3CDTF">2023-08-01T14:04:00Z</dcterms:created>
  <dcterms:modified xsi:type="dcterms:W3CDTF">2023-08-08T13:54:00Z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